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PVG 2019 17 vom 13. Februar 2026</w:t>
      </w:r>
    </w:p>
    <w:p>
      <w:r>
        <w:t>GR Gerichte, 2026-02-13, DE</w:t>
      </w:r>
    </w:p>
    <w:p>
      <w:r>
        <w:rPr>
          <w:b/>
        </w:rPr>
        <w:t xml:space="preserve">Quelle: </w:t>
      </w:r>
      <w:r>
        <w:t>https://mcp.opencaselaw.ch/entscheid/gr_gerichte_PVG 2019 17</w:t>
      </w:r>
    </w:p>
    <w:p>
      <w:r>
        <w:t>FR: GR_GERICHTE PVG 2019 17 du 13 février 2026</w:t>
      </w:r>
    </w:p>
    <w:p>
      <w:r>
        <w:t>IT: GR_GERICHTE PVG 2019 17 del 13 febbraio 2026</w:t>
      </w:r>
    </w:p>
    <w:p>
      <w:pPr>
        <w:pStyle w:val="Heading2"/>
      </w:pPr>
      <w:r>
        <w:t>Erwägungen</w:t>
      </w:r>
    </w:p>
    <w:p>
      <w:r>
        <w:rPr>
          <w:b/>
        </w:rPr>
        <w:t>E. 50</w:t>
      </w:r>
    </w:p>
    <w:p>
      <w:r>
        <w:t>% und mehr. 2.2.8. Die Beschwerdegegnerin rechtfertigt ihre Preisbe- wertung mit Hinweis auf VGU U 10 70, in dem das Gericht für den Ausbau einer Quartierstrasse bei der Ausschreibung der Baumeis- terarbeiten, also eines weitgehend standardisierten Beschaffungs- gegenstandes, die Preisgewichtung von 60 % und eine Bewertung desselben mit einer linearen Preisskala und einer Bandbreite von 100 % geschützt hat (E.1c). Dieser Entscheid ist aus heutiger Sicht indessen nicht (mehr) haltbar, wurde doch damit das Preiskriterium zu stark verwässert und faktisch mit nur 30 % gewichtet. In VGU U 08 66 ging es bei einer Kraftwerkerneuerung um die Beschaffung der Leittechnik, mithin um einen hochkomplexen Auftrag, bei dem das Preiskriterium genauso wie die Kriterien ‚Technische Lösung‘ und ‚Referenzen‘ mit je 30 % gewichtet wurde; wenn dort dann das Gericht die (nachträglich) definierte Bandbreite mit ‚doppelter Preis = 0 Punkte‘ geschützt hat, erscheint auch dies aus heutiger Sicht äusserst grosszügig, und würde wohl heute ebenfalls nicht mehr geschützt (weil damit die Gewichtung des Preiskriteriums unter 20</w:t>
      </w:r>
    </w:p>
    <w:p>
      <w:r>
        <w:t>8/17 Submission PVG 2019 178 % fallen würde). In tatsächlicher Hinsicht entspricht die hier stritti- ge Preisbewertungsmethode denn auch in etwa dem Sachverhalt, der VGU U 02 124 = PVG 2002 Nr. 37 zu Grunde liegt und der vom Verwaltungsgericht für eindeutig rechtswidrig erkannt wurde. Zu berücksichtigen gilt es stets das Zusammenspiel von Gewichtung und Bandbreite bei der Bewertung des Preises, wo- bei die Preisbewertung, d.h. die Bandbreite und die Preiskurve im Verhältnis zur (korrekten) Gewichtung des Preiskriteriums jeweils eine Nebenrolle einzunehmen hat. Eine Bandbreite von über 50 % bei einer linearen Preiskurve dürfte somit – jedenfalls wenn es sich um die Vergabe eines weitgehend standardisierten Beschaffungs- gegenstandes handelt – zukünftig in der Regel als Verstoss gegen den Grundsatz der Wettbewerbsförderung und als inakzeptable Auslegung/Interpretation des primären Zuschlagskriteriums des «Preises» gewertet und somit kaum mehr geschützt werden; den Urteilen VGU U 10 70 und U 08 66 kann deshalb diesbezüglich keine präjudizielle Bedeutung (mehr) zukommen. 2.2.9. Im vorliegenden Fall drängt sich eine Bandbreite bei der Preisbewertung im Bereich von 20 % bis max. 40 % auf, weil die Bewertung des Preiskriteriums seitens der Beschwerdegegne- rin nicht im Voraus kommuniziert wurde, die effektive Bandbreite der offerierten Preise bloss 8.7 % beträgt und die Gewichtung des Preiskriteriums mit 50 % (anstatt praxisgemäss 60 %) nach An- sicht des Gerichts ohnehin zu tief ausgefallen ist; wäre die korrekte Preisbewertungsmethode inklusive Preisspanne in der Ausschrei- bung deklariert worden, hätte man hingegen noch über eine höhe- re Bandbreite von 25 % bis max. 50 % diskutieren können, zumal die Anbieter dann dieser Preisspanne mit ihren Angeboten hätten Rechnung tragen können. 2.2.10. Wenn man nun die Bewertung des Preises mit ei- ner linearen Preisskala mit einer Bandbreite von 30 % rechnet (also tiefstes Angebot = 50 Punkte, 30 % teureres Angebot = 0 Punkte) so kommt man bei einem um 8.7 % teureren Angebot auf 35.5 Punkte (1 % teurer = 1.66 Punkte Abzug), bei einer Bandbreite von 40 % gibt das 39.125 Punkte (1 % teurer = 1.25 Punkte Abzug). Falls die Zu- schlagsempfängerin im Preiskriterium 40 oder weniger Punkte er- hält, erzielt die Beschwerdeführerin ungeachtet ihrer weiteren Rü- gen im Ergebnis eine höhere Punktzahl; ihr Angebot ist somit das wirtschaftlich günstigste, weshalb die Beschwerde gutzuheissen ist. Einem Gesamttotal der Beschwerdeführerin von 89.44 Punk- ten (zusammengesetzt aus: Preis mit 50 Pte. + 16.94 Pte. [Zweck- mässigkeit] + 22.50 Pte. [Kompatibilität]) steht ein tieferes Total von</w:t>
      </w:r>
    </w:p>
    <w:p>
      <w:r>
        <w:t>8/17 Submission PVG 2019 179 84.94 Pt. (bei Bandbreite 30 % mit Preis 35.5 Pte. + 19.44 Pte. + 30.00 Pte.) bzw. 88.56 Pte. (bei Bandbreite 40 % mit Preis 39.125 Pte. + 19.44 Pte. + 30.00 Pte.) der Zuschlagsempfängerin gegen- über (vgl. Vernehmlassung der Gemeinde Tabelle S. 19), womit die Beschwerdeführerin als wirtschaftlich günstigste Anbieterin nach Art. 21 Abs. 1 SubG (Art. 1 Abs. 3 lit. d IVöB) zu berücksichtigen ist und somit an sie die Auftragsvergabe zu ergehen hat. 2.2.11. Die Richtigkeit dieser Überlegungen wird noch da- durch bestätigt, dass bei anfänglich korrekter Festlegung des Krite- riums des Preises mit 60 % sowohl eine Bandbreite von 30 %, 40 % wie auch von 50 % gereicht hätte, um die Beschwerdeführerin als «wirtschaftlich günstigste Anbieterin» mit total 91.56 Punkten (zu- sammengesetzt aus: Preis 60 Pte. + [Zweckmässigkeit] 13.56 Pte. + [Kompatibilität] 18.00 Pte.; vgl. Vernehmlassung der Gemeinde Tabelle S. 19) vor der berücksichtigten Zuschlagsempfängerin mit 89.12 Punkten (bei Bandbreite 50 %: Preis 49.56 Pte.+ 15.56 Pte. + 24.00 Pte.), 86.51 Punkten (bei Bandbreite 40 %: 46.95 + 15.56 + 24.00) oder 82.16 Punkten (bei Bandbreite 30 %: 42.6 + 15.56 + 24.00) zu qualifizieren (d.h. 1. Rang immer Beschwerdeführerin bei Preiskriterium 60 %). 2.2.12. Weil hier nur zwei Anbieter in direkter Konkurrenz zueinanderstehen und die Beschwerdeführerin dabei das wirt- schaftlich klar günstigere Angebot gemacht hat, würde es einen prozessualen Leerlauf bedeuten und eine unnötige Zeitverzöge- rung darstellen, wenn die Akten zur Neuvergabe des Auftrags an die Beschwerdegegnerin zurückgewiesen würden. Der angefochte- ne Zuschlagsentscheid ist daher nicht lediglich kassatorisch aufzu- heben, sondern der umstrittene Arbeitsauftrag direkt vom Gericht reformatorisch an die wirtschaftlich günstigste Beschwerdeführe- rin zu erteilen. U 18 70 Urteil vom 16. April 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